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7E" w:rsidRPr="0053347D" w:rsidRDefault="004A687E" w:rsidP="00EE56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33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Takeaways:</w:t>
      </w:r>
    </w:p>
    <w:p w:rsidR="00EE56BF" w:rsidRDefault="00EE56BF" w:rsidP="004A687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F0B22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</w:t>
      </w:r>
      <w:r w:rsidR="004A687E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constitutional requirements </w:t>
      </w:r>
      <w:r w:rsidR="004A687E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 speedy trial 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remain a basis to attack pretrial</w:t>
      </w:r>
      <w:r w:rsidR="004A687E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/sentencing 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delay</w:t>
      </w:r>
      <w:r w:rsidR="00CF0B22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687E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does not eliminate these constitutional rights.</w:t>
      </w:r>
    </w:p>
    <w:p w:rsidR="0053347D" w:rsidRPr="0053347D" w:rsidRDefault="0053347D" w:rsidP="0053347D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47D" w:rsidRDefault="004A687E" w:rsidP="0053347D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3347D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 w:rsidR="00BA54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47D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whether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pretrial/sentencing delay </w:t>
      </w:r>
      <w:r w:rsidR="0053347D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your case 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rises to a constitutional violation</w:t>
      </w:r>
      <w:r w:rsidR="0053347D"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347D" w:rsidRPr="0053347D" w:rsidRDefault="0053347D" w:rsidP="0053347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87E" w:rsidRDefault="0053347D" w:rsidP="004A687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The answer requires close analysis of case specifics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procedural history,</w:t>
      </w: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individual circumstances.</w:t>
      </w:r>
      <w:r w:rsidR="00BA5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cannot be a general ruling on speedy trial and Covid-19.</w:t>
      </w:r>
    </w:p>
    <w:p w:rsidR="0053347D" w:rsidRPr="0053347D" w:rsidRDefault="0053347D" w:rsidP="0053347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47D" w:rsidRDefault="0053347D" w:rsidP="0020193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color w:val="000000"/>
          <w:sz w:val="24"/>
          <w:szCs w:val="24"/>
        </w:rPr>
        <w:t>The only remedy for a speedy trial violation is dismissal of the prosecution.</w:t>
      </w:r>
    </w:p>
    <w:p w:rsidR="0053347D" w:rsidRPr="0053347D" w:rsidRDefault="0053347D" w:rsidP="0053347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87E" w:rsidRPr="009B2442" w:rsidRDefault="004A687E" w:rsidP="00143BC9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to </w:t>
      </w:r>
      <w:r w:rsidRPr="00EE5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Barker v. </w:t>
      </w:r>
      <w:proofErr w:type="spellStart"/>
      <w:r w:rsidRPr="00EE56BF">
        <w:rPr>
          <w:rFonts w:ascii="Times New Roman" w:eastAsia="Times New Roman" w:hAnsi="Times New Roman" w:cs="Times New Roman"/>
          <w:sz w:val="24"/>
          <w:szCs w:val="24"/>
          <w:u w:val="single"/>
        </w:rPr>
        <w:t>Wingo</w:t>
      </w:r>
      <w:proofErr w:type="spellEnd"/>
      <w:r w:rsidRPr="00EE56BF">
        <w:rPr>
          <w:rFonts w:ascii="Times New Roman" w:eastAsia="Times New Roman" w:hAnsi="Times New Roman" w:cs="Times New Roman"/>
          <w:sz w:val="24"/>
          <w:szCs w:val="24"/>
        </w:rPr>
        <w:t>, 407 U.S. 514</w:t>
      </w:r>
      <w:r w:rsidRPr="009B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>(1972</w:t>
      </w:r>
      <w:r w:rsidR="0053347D" w:rsidRPr="009B2442">
        <w:rPr>
          <w:rFonts w:ascii="Times New Roman" w:eastAsia="Times New Roman" w:hAnsi="Times New Roman" w:cs="Times New Roman"/>
          <w:sz w:val="24"/>
          <w:szCs w:val="24"/>
        </w:rPr>
        <w:t>) for</w:t>
      </w:r>
      <w:r w:rsidRPr="009B244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four-factor balancing test to determine whether </w:t>
      </w:r>
      <w:r w:rsidR="0053347D" w:rsidRPr="009B2442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47D" w:rsidRPr="009B2442">
        <w:rPr>
          <w:rFonts w:ascii="Times New Roman" w:eastAsia="Times New Roman" w:hAnsi="Times New Roman" w:cs="Times New Roman"/>
          <w:sz w:val="24"/>
          <w:szCs w:val="24"/>
        </w:rPr>
        <w:t>client’s Sixth Amendment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 right to a speedy trial </w:t>
      </w:r>
      <w:r w:rsidRPr="009B244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 violated</w:t>
      </w:r>
      <w:r w:rsidR="009B2442" w:rsidRPr="009B24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2442">
        <w:rPr>
          <w:rFonts w:ascii="Times New Roman" w:eastAsia="Times New Roman" w:hAnsi="Times New Roman" w:cs="Times New Roman"/>
          <w:sz w:val="24"/>
          <w:szCs w:val="24"/>
        </w:rPr>
        <w:t xml:space="preserve">See also </w:t>
      </w:r>
      <w:r w:rsidR="009B2442" w:rsidRPr="008F66B0">
        <w:rPr>
          <w:rFonts w:ascii="Times New Roman" w:eastAsia="Times New Roman" w:hAnsi="Times New Roman" w:cs="Times New Roman"/>
          <w:sz w:val="24"/>
          <w:szCs w:val="24"/>
          <w:u w:val="single"/>
        </w:rPr>
        <w:t>State v. Reynolds</w:t>
      </w:r>
      <w:r w:rsidR="009B2442" w:rsidRPr="009B2442">
        <w:rPr>
          <w:rFonts w:ascii="Times New Roman" w:eastAsia="Times New Roman" w:hAnsi="Times New Roman" w:cs="Times New Roman"/>
          <w:sz w:val="24"/>
          <w:szCs w:val="24"/>
        </w:rPr>
        <w:t>, 2014 VT 16, ¶ 9, 196 Vt. 113, 95 A.3d 973</w:t>
      </w:r>
      <w:r w:rsidR="009B2442">
        <w:rPr>
          <w:rFonts w:ascii="Times New Roman" w:eastAsia="Times New Roman" w:hAnsi="Times New Roman" w:cs="Times New Roman"/>
          <w:sz w:val="24"/>
          <w:szCs w:val="24"/>
        </w:rPr>
        <w:t xml:space="preserve"> (applying same federal analysis to state constitutional speedy trial rights).</w:t>
      </w:r>
    </w:p>
    <w:p w:rsidR="0053347D" w:rsidRPr="0053347D" w:rsidRDefault="0053347D" w:rsidP="0053347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87E" w:rsidRPr="0053347D" w:rsidRDefault="004A687E" w:rsidP="004A687E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ength of delay </w:t>
      </w:r>
    </w:p>
    <w:p w:rsidR="004A687E" w:rsidRPr="0053347D" w:rsidRDefault="004A687E" w:rsidP="004A687E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>eason for the delay</w:t>
      </w:r>
    </w:p>
    <w:p w:rsidR="004A687E" w:rsidRPr="0053347D" w:rsidRDefault="004A687E" w:rsidP="004A687E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ssertion of </w:t>
      </w:r>
      <w:r w:rsidRPr="0053347D">
        <w:rPr>
          <w:rFonts w:ascii="Times New Roman" w:eastAsia="Times New Roman" w:hAnsi="Times New Roman" w:cs="Times New Roman"/>
          <w:sz w:val="24"/>
          <w:szCs w:val="24"/>
        </w:rPr>
        <w:t>the defendant’s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 right, and</w:t>
      </w:r>
    </w:p>
    <w:p w:rsidR="004A687E" w:rsidRPr="0053347D" w:rsidRDefault="004A687E" w:rsidP="004A687E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>rejudice to the defendant.</w:t>
      </w:r>
    </w:p>
    <w:p w:rsidR="0053347D" w:rsidRPr="0053347D" w:rsidRDefault="0053347D" w:rsidP="0053347D">
      <w:pPr>
        <w:pStyle w:val="ListParagraph"/>
        <w:shd w:val="clear" w:color="auto" w:fill="FFFFFF"/>
        <w:spacing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87E" w:rsidRPr="0053347D" w:rsidRDefault="0053347D" w:rsidP="004A687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sz w:val="24"/>
          <w:szCs w:val="24"/>
        </w:rPr>
        <w:t>Overarching principles</w:t>
      </w:r>
      <w:r w:rsidR="004A687E" w:rsidRPr="0053347D">
        <w:rPr>
          <w:rFonts w:ascii="Times New Roman" w:eastAsia="Times New Roman" w:hAnsi="Times New Roman" w:cs="Times New Roman"/>
          <w:sz w:val="24"/>
          <w:szCs w:val="24"/>
        </w:rPr>
        <w:t xml:space="preserve"> to keep in mind when going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3347D">
        <w:rPr>
          <w:rFonts w:ascii="Times New Roman" w:eastAsia="Times New Roman" w:hAnsi="Times New Roman" w:cs="Times New Roman"/>
          <w:sz w:val="24"/>
          <w:szCs w:val="24"/>
          <w:u w:val="single"/>
        </w:rPr>
        <w:t>Barker</w:t>
      </w:r>
      <w:r w:rsidR="004A687E" w:rsidRPr="0053347D">
        <w:rPr>
          <w:rFonts w:ascii="Times New Roman" w:eastAsia="Times New Roman" w:hAnsi="Times New Roman" w:cs="Times New Roman"/>
          <w:sz w:val="24"/>
          <w:szCs w:val="24"/>
        </w:rPr>
        <w:t xml:space="preserve"> analysis:</w:t>
      </w:r>
    </w:p>
    <w:p w:rsidR="009B2442" w:rsidRPr="009B2442" w:rsidRDefault="009B2442" w:rsidP="0053347D">
      <w:pPr>
        <w:pStyle w:val="ListParagraph"/>
        <w:numPr>
          <w:ilvl w:val="1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factual record as to all four </w:t>
      </w:r>
      <w:r w:rsidRPr="009B24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is critical for building your speedy trial case. Review of factual findings as to delay is highly deferential, there must be “clear error.”</w:t>
      </w:r>
    </w:p>
    <w:p w:rsidR="004A687E" w:rsidRPr="00C16CC2" w:rsidRDefault="004A687E" w:rsidP="0053347D">
      <w:pPr>
        <w:pStyle w:val="ListParagraph"/>
        <w:numPr>
          <w:ilvl w:val="1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>hese factors have no “talismanic qualities</w:t>
      </w:r>
      <w:r w:rsidRPr="005334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” and none is “either a necessary or sufficient condition to the finding of a deprivation of the right to speedy trial.” </w:t>
      </w:r>
      <w:r w:rsidRPr="00EE56BF">
        <w:rPr>
          <w:rFonts w:ascii="Times New Roman" w:eastAsia="Times New Roman" w:hAnsi="Times New Roman" w:cs="Times New Roman"/>
          <w:sz w:val="24"/>
          <w:szCs w:val="24"/>
          <w:u w:val="single"/>
        </w:rPr>
        <w:t>Barker, 407 U.S. at 533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47D" w:rsidRPr="00C16CC2" w:rsidRDefault="004A687E" w:rsidP="0053347D">
      <w:pPr>
        <w:pStyle w:val="ListParagraph"/>
        <w:numPr>
          <w:ilvl w:val="1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C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E56BF">
        <w:rPr>
          <w:rFonts w:ascii="Times New Roman" w:eastAsia="Times New Roman" w:hAnsi="Times New Roman" w:cs="Times New Roman"/>
          <w:sz w:val="24"/>
          <w:szCs w:val="24"/>
        </w:rPr>
        <w:t xml:space="preserve">hey are “related factors” that “must be considered together with such other circumstances as may be relevant.” </w:t>
      </w:r>
      <w:hyperlink r:id="rId8" w:history="1">
        <w:r w:rsidRPr="00EE56B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Id.</w:t>
        </w:r>
      </w:hyperlink>
    </w:p>
    <w:p w:rsidR="00EE56BF" w:rsidRPr="008D773F" w:rsidRDefault="0053347D" w:rsidP="0053347D">
      <w:pPr>
        <w:pStyle w:val="ListParagraph"/>
        <w:numPr>
          <w:ilvl w:val="1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C2">
        <w:rPr>
          <w:rFonts w:ascii="Times New Roman" w:eastAsia="Times New Roman" w:hAnsi="Times New Roman" w:cs="Times New Roman"/>
          <w:sz w:val="24"/>
          <w:szCs w:val="24"/>
        </w:rPr>
        <w:t>These factors may also be relevant in a due process speedy sentencing claim.</w:t>
      </w:r>
      <w:r w:rsidR="00EE56BF" w:rsidRPr="00C16CC2">
        <w:rPr>
          <w:rFonts w:ascii="Times New Roman" w:hAnsi="Times New Roman" w:cs="Times New Roman"/>
          <w:sz w:val="24"/>
          <w:szCs w:val="24"/>
        </w:rPr>
        <w:t xml:space="preserve"> </w:t>
      </w:r>
      <w:r w:rsidRPr="00C16CC2">
        <w:rPr>
          <w:rFonts w:ascii="Times New Roman" w:hAnsi="Times New Roman" w:cs="Times New Roman"/>
          <w:sz w:val="24"/>
          <w:szCs w:val="24"/>
        </w:rPr>
        <w:t>See</w:t>
      </w:r>
      <w:r w:rsidR="00EE56BF" w:rsidRPr="00C1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BF" w:rsidRPr="00C16CC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Betterman</w:t>
      </w:r>
      <w:proofErr w:type="spellEnd"/>
      <w:r w:rsidR="00EE56BF" w:rsidRPr="00C16CC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v. Montana</w:t>
      </w:r>
      <w:r w:rsidR="00EE56BF" w:rsidRPr="00C16CC2">
        <w:rPr>
          <w:rFonts w:ascii="Times New Roman" w:hAnsi="Times New Roman" w:cs="Times New Roman"/>
          <w:sz w:val="24"/>
          <w:szCs w:val="24"/>
        </w:rPr>
        <w:t xml:space="preserve">, ––– U.S. ––––, 136 </w:t>
      </w:r>
      <w:proofErr w:type="spellStart"/>
      <w:r w:rsidR="00EE56BF" w:rsidRPr="00C16CC2">
        <w:rPr>
          <w:rFonts w:ascii="Times New Roman" w:hAnsi="Times New Roman" w:cs="Times New Roman"/>
          <w:sz w:val="24"/>
          <w:szCs w:val="24"/>
        </w:rPr>
        <w:t>S.Ct</w:t>
      </w:r>
      <w:proofErr w:type="spellEnd"/>
      <w:r w:rsidR="00EE56BF" w:rsidRPr="00C16CC2">
        <w:rPr>
          <w:rFonts w:ascii="Times New Roman" w:hAnsi="Times New Roman" w:cs="Times New Roman"/>
          <w:sz w:val="24"/>
          <w:szCs w:val="24"/>
        </w:rPr>
        <w:t xml:space="preserve">. 1609, </w:t>
      </w:r>
      <w:r w:rsidRPr="00C16CC2">
        <w:rPr>
          <w:rFonts w:ascii="Times New Roman" w:hAnsi="Times New Roman" w:cs="Times New Roman"/>
          <w:sz w:val="24"/>
          <w:szCs w:val="24"/>
        </w:rPr>
        <w:t>1617-18, n.12</w:t>
      </w:r>
      <w:r w:rsidR="00EE56BF" w:rsidRPr="00C16CC2">
        <w:rPr>
          <w:rFonts w:ascii="Times New Roman" w:hAnsi="Times New Roman" w:cs="Times New Roman"/>
          <w:sz w:val="24"/>
          <w:szCs w:val="24"/>
        </w:rPr>
        <w:t xml:space="preserve"> (2016)</w:t>
      </w:r>
      <w:r w:rsidRPr="00C16CC2">
        <w:rPr>
          <w:rFonts w:ascii="Times New Roman" w:hAnsi="Times New Roman" w:cs="Times New Roman"/>
          <w:sz w:val="24"/>
          <w:szCs w:val="24"/>
        </w:rPr>
        <w:t xml:space="preserve"> (e</w:t>
      </w:r>
      <w:r w:rsidR="00EE56BF" w:rsidRPr="00C16CC2">
        <w:rPr>
          <w:rFonts w:ascii="Times New Roman" w:hAnsi="Times New Roman" w:cs="Times New Roman"/>
          <w:sz w:val="24"/>
          <w:szCs w:val="24"/>
        </w:rPr>
        <w:t xml:space="preserve">xpressly </w:t>
      </w:r>
      <w:r w:rsidRPr="00C16CC2">
        <w:rPr>
          <w:rFonts w:ascii="Times New Roman" w:hAnsi="Times New Roman" w:cs="Times New Roman"/>
          <w:sz w:val="24"/>
          <w:szCs w:val="24"/>
        </w:rPr>
        <w:t>leaving</w:t>
      </w:r>
      <w:r w:rsidR="00EE56BF" w:rsidRPr="00C16CC2">
        <w:rPr>
          <w:rFonts w:ascii="Times New Roman" w:hAnsi="Times New Roman" w:cs="Times New Roman"/>
          <w:sz w:val="24"/>
          <w:szCs w:val="24"/>
        </w:rPr>
        <w:t xml:space="preserve"> open the possibility that due process protects against improper delays in sentencing, noting that “[a]</w:t>
      </w:r>
      <w:proofErr w:type="spellStart"/>
      <w:r w:rsidR="00EE56BF" w:rsidRPr="00C16CC2">
        <w:rPr>
          <w:rFonts w:ascii="Times New Roman" w:hAnsi="Times New Roman" w:cs="Times New Roman"/>
          <w:sz w:val="24"/>
          <w:szCs w:val="24"/>
        </w:rPr>
        <w:t>fter</w:t>
      </w:r>
      <w:proofErr w:type="spellEnd"/>
      <w:r w:rsidR="00EE56BF" w:rsidRPr="00C16CC2">
        <w:rPr>
          <w:rFonts w:ascii="Times New Roman" w:hAnsi="Times New Roman" w:cs="Times New Roman"/>
          <w:sz w:val="24"/>
          <w:szCs w:val="24"/>
        </w:rPr>
        <w:t xml:space="preserve"> conviction, a defendant’s due process right to liberty, while diminished, is still present. He retains an interest in a sentencing proceeding that is fundamentally fair.” </w:t>
      </w:r>
      <w:r w:rsidR="00EE56BF" w:rsidRPr="00C16CC2">
        <w:rPr>
          <w:rStyle w:val="Emphasis"/>
          <w:rFonts w:ascii="Times New Roman" w:hAnsi="Times New Roman" w:cs="Times New Roman"/>
          <w:sz w:val="24"/>
          <w:szCs w:val="24"/>
          <w:u w:val="single"/>
        </w:rPr>
        <w:t>Id.</w:t>
      </w:r>
      <w:r w:rsidR="00EE56BF" w:rsidRPr="00C16CC2">
        <w:rPr>
          <w:rFonts w:ascii="Times New Roman" w:hAnsi="Times New Roman" w:cs="Times New Roman"/>
          <w:sz w:val="24"/>
          <w:szCs w:val="24"/>
        </w:rPr>
        <w:t xml:space="preserve"> at 1617</w:t>
      </w:r>
      <w:r w:rsidR="00EE56BF" w:rsidRPr="0053347D">
        <w:rPr>
          <w:rFonts w:ascii="Times New Roman" w:hAnsi="Times New Roman" w:cs="Times New Roman"/>
          <w:sz w:val="24"/>
          <w:szCs w:val="24"/>
        </w:rPr>
        <w:t xml:space="preserve">. The Court did not set forth what a due process speedy sentencing claim might consist of, although it suggested that the </w:t>
      </w:r>
      <w:r w:rsidR="00EE56BF" w:rsidRPr="0053347D">
        <w:rPr>
          <w:rStyle w:val="cosearchterm"/>
          <w:rFonts w:ascii="Times New Roman" w:hAnsi="Times New Roman" w:cs="Times New Roman"/>
          <w:sz w:val="24"/>
          <w:szCs w:val="24"/>
        </w:rPr>
        <w:t>Barker</w:t>
      </w:r>
      <w:r w:rsidR="00EE56BF" w:rsidRPr="0053347D">
        <w:rPr>
          <w:rFonts w:ascii="Times New Roman" w:hAnsi="Times New Roman" w:cs="Times New Roman"/>
          <w:sz w:val="24"/>
          <w:szCs w:val="24"/>
        </w:rPr>
        <w:t xml:space="preserve"> factors might be “[r]</w:t>
      </w:r>
      <w:proofErr w:type="spellStart"/>
      <w:r w:rsidR="00EE56BF" w:rsidRPr="0053347D">
        <w:rPr>
          <w:rFonts w:ascii="Times New Roman" w:hAnsi="Times New Roman" w:cs="Times New Roman"/>
          <w:sz w:val="24"/>
          <w:szCs w:val="24"/>
        </w:rPr>
        <w:t>elevant</w:t>
      </w:r>
      <w:proofErr w:type="spellEnd"/>
      <w:r w:rsidR="00EE56BF" w:rsidRPr="0053347D">
        <w:rPr>
          <w:rFonts w:ascii="Times New Roman" w:hAnsi="Times New Roman" w:cs="Times New Roman"/>
          <w:sz w:val="24"/>
          <w:szCs w:val="24"/>
        </w:rPr>
        <w:t xml:space="preserve"> considerations”</w:t>
      </w:r>
      <w:r w:rsidRPr="0053347D">
        <w:rPr>
          <w:rFonts w:ascii="Times New Roman" w:hAnsi="Times New Roman" w:cs="Times New Roman"/>
          <w:sz w:val="24"/>
          <w:szCs w:val="24"/>
        </w:rPr>
        <w:t>).</w:t>
      </w:r>
    </w:p>
    <w:p w:rsidR="008D773F" w:rsidRPr="008D773F" w:rsidRDefault="008D773F" w:rsidP="008D77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773F">
        <w:rPr>
          <w:rFonts w:ascii="Times New Roman" w:hAnsi="Times New Roman" w:cs="Times New Roman"/>
          <w:sz w:val="24"/>
          <w:szCs w:val="24"/>
        </w:rPr>
        <w:t>“Until there is some delay which is presumptively prejudicial, there is no necessity for inquiry into the other factors that go into the balance.”</w:t>
      </w:r>
    </w:p>
    <w:p w:rsidR="008D773F" w:rsidRPr="00F71A1A" w:rsidRDefault="008D773F" w:rsidP="008D77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773F">
        <w:rPr>
          <w:rFonts w:ascii="Times New Roman" w:hAnsi="Times New Roman" w:cs="Times New Roman"/>
          <w:sz w:val="24"/>
          <w:szCs w:val="24"/>
        </w:rPr>
        <w:t>If review of the other factors is triggered, the first factor then is balanced along with the other factors in determining whether a speedy-trial violation exists.</w:t>
      </w:r>
    </w:p>
    <w:p w:rsidR="00F71A1A" w:rsidRPr="008D773F" w:rsidRDefault="00F71A1A" w:rsidP="00F71A1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DB" w:rsidRPr="0053347D" w:rsidRDefault="009F7ADB" w:rsidP="009F7ADB">
      <w:pPr>
        <w:pStyle w:val="ListParagraph"/>
        <w:shd w:val="clear" w:color="auto" w:fill="FFFFFF"/>
        <w:spacing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6BF" w:rsidRPr="0053347D" w:rsidRDefault="0053347D" w:rsidP="00533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34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First Factor: </w:t>
      </w:r>
      <w:r w:rsidR="00EE56BF" w:rsidRPr="0053347D">
        <w:rPr>
          <w:rFonts w:ascii="Times New Roman" w:hAnsi="Times New Roman" w:cs="Times New Roman"/>
          <w:b/>
          <w:bCs/>
          <w:sz w:val="24"/>
          <w:szCs w:val="24"/>
        </w:rPr>
        <w:t xml:space="preserve">So then, </w:t>
      </w:r>
      <w:r w:rsidRPr="0053347D">
        <w:rPr>
          <w:rFonts w:ascii="Times New Roman" w:hAnsi="Times New Roman" w:cs="Times New Roman"/>
          <w:b/>
          <w:bCs/>
          <w:sz w:val="24"/>
          <w:szCs w:val="24"/>
        </w:rPr>
        <w:t xml:space="preserve">under </w:t>
      </w:r>
      <w:r w:rsidRPr="0053347D">
        <w:rPr>
          <w:rFonts w:ascii="Times New Roman" w:hAnsi="Times New Roman" w:cs="Times New Roman"/>
          <w:b/>
          <w:bCs/>
          <w:sz w:val="24"/>
          <w:szCs w:val="24"/>
          <w:u w:val="single"/>
        </w:rPr>
        <w:t>Barker</w:t>
      </w:r>
      <w:r w:rsidRPr="005334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56BF" w:rsidRPr="0053347D">
        <w:rPr>
          <w:rFonts w:ascii="Times New Roman" w:hAnsi="Times New Roman" w:cs="Times New Roman"/>
          <w:b/>
          <w:bCs/>
          <w:sz w:val="24"/>
          <w:szCs w:val="24"/>
        </w:rPr>
        <w:t>how long is too long?</w:t>
      </w:r>
    </w:p>
    <w:p w:rsidR="008D773F" w:rsidRDefault="008D773F" w:rsidP="00F71A1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 is no bright-line rule establishing when the delay is too long. That said, there are some guiding principles…</w:t>
      </w:r>
    </w:p>
    <w:p w:rsidR="008F66B0" w:rsidRPr="008F66B0" w:rsidRDefault="008F66B0" w:rsidP="00F71A1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6B0">
        <w:rPr>
          <w:rFonts w:ascii="Times New Roman" w:hAnsi="Times New Roman" w:cs="Times New Roman"/>
          <w:sz w:val="24"/>
          <w:szCs w:val="24"/>
        </w:rPr>
        <w:t>“Our first task is to determine whether the length of the delay was presumptively prejudicial.”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6B0">
        <w:rPr>
          <w:rFonts w:ascii="Times New Roman" w:hAnsi="Times New Roman" w:cs="Times New Roman"/>
          <w:sz w:val="24"/>
          <w:szCs w:val="24"/>
          <w:u w:val="single"/>
        </w:rPr>
        <w:t>Reynolds</w:t>
      </w:r>
      <w:r w:rsidRPr="008F66B0">
        <w:rPr>
          <w:rFonts w:ascii="Times New Roman" w:hAnsi="Times New Roman" w:cs="Times New Roman"/>
          <w:sz w:val="24"/>
          <w:szCs w:val="24"/>
        </w:rPr>
        <w:t>, 2014 VT 16, ¶ 19, 196 Vt. 113, 122, 95 A.3d 973, 980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F9D" w:rsidRDefault="008D773F" w:rsidP="00F71A1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p</w:t>
      </w:r>
      <w:r w:rsidRPr="008D773F">
        <w:rPr>
          <w:rFonts w:ascii="Times New Roman" w:hAnsi="Times New Roman" w:cs="Times New Roman"/>
          <w:sz w:val="24"/>
          <w:szCs w:val="24"/>
        </w:rPr>
        <w:t>ull together key dates</w:t>
      </w:r>
      <w:r>
        <w:rPr>
          <w:rFonts w:ascii="Times New Roman" w:hAnsi="Times New Roman" w:cs="Times New Roman"/>
          <w:sz w:val="24"/>
          <w:szCs w:val="24"/>
        </w:rPr>
        <w:t xml:space="preserve"> and build a chronology/date-clock</w:t>
      </w:r>
      <w:r w:rsidRPr="008D773F">
        <w:rPr>
          <w:rFonts w:ascii="Times New Roman" w:hAnsi="Times New Roman" w:cs="Times New Roman"/>
          <w:sz w:val="24"/>
          <w:szCs w:val="24"/>
        </w:rPr>
        <w:t xml:space="preserve">: arrest, arraignment and probable cause determination, pretrial detention, </w:t>
      </w:r>
      <w:r w:rsidR="002531D2">
        <w:rPr>
          <w:rFonts w:ascii="Times New Roman" w:hAnsi="Times New Roman" w:cs="Times New Roman"/>
          <w:sz w:val="24"/>
          <w:szCs w:val="24"/>
        </w:rPr>
        <w:t>and date when trial is expected/scheduled/held.</w:t>
      </w:r>
    </w:p>
    <w:p w:rsidR="00F71A1A" w:rsidRDefault="008F66B0" w:rsidP="00F71A1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2D6">
        <w:rPr>
          <w:rFonts w:ascii="Times New Roman" w:hAnsi="Times New Roman" w:cs="Times New Roman"/>
          <w:sz w:val="24"/>
          <w:szCs w:val="24"/>
        </w:rPr>
        <w:t xml:space="preserve">Point to the record where the court established when jury trials are to be held in the defendant’s case. If the court has not been able to give a specific date, make sure the record is clear on this point as well. Try to lock down when the court anticipates holding a jury trial again. Use the court’s failure to give a hard-fast date as establishing that the delay is indefinite and its end point unknowable </w:t>
      </w:r>
      <w:proofErr w:type="gramStart"/>
      <w:r w:rsidRPr="000942D6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0942D6">
        <w:rPr>
          <w:rFonts w:ascii="Times New Roman" w:hAnsi="Times New Roman" w:cs="Times New Roman"/>
          <w:sz w:val="24"/>
          <w:szCs w:val="24"/>
        </w:rPr>
        <w:t>.</w:t>
      </w:r>
    </w:p>
    <w:p w:rsidR="00F71A1A" w:rsidRDefault="005D6EC2" w:rsidP="00F71A1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>Consider the length of the delay</w:t>
      </w:r>
      <w:r w:rsidR="00090F9D" w:rsidRPr="00F71A1A">
        <w:rPr>
          <w:rFonts w:ascii="Times New Roman" w:hAnsi="Times New Roman" w:cs="Times New Roman"/>
          <w:sz w:val="24"/>
          <w:szCs w:val="24"/>
        </w:rPr>
        <w:t xml:space="preserve"> as compared to the complexity of the case</w:t>
      </w:r>
      <w:r w:rsidRPr="00F71A1A">
        <w:rPr>
          <w:rFonts w:ascii="Times New Roman" w:hAnsi="Times New Roman" w:cs="Times New Roman"/>
          <w:sz w:val="24"/>
          <w:szCs w:val="24"/>
        </w:rPr>
        <w:t>.</w:t>
      </w:r>
      <w:r w:rsidR="00090F9D" w:rsidRPr="00F71A1A">
        <w:rPr>
          <w:rFonts w:ascii="Times New Roman" w:hAnsi="Times New Roman" w:cs="Times New Roman"/>
          <w:sz w:val="24"/>
          <w:szCs w:val="24"/>
        </w:rPr>
        <w:t xml:space="preserve"> This factor examines the length of the delay in relation to the nature of the case against the defendant. </w:t>
      </w:r>
      <w:r w:rsidR="00090F9D" w:rsidRPr="00F71A1A">
        <w:rPr>
          <w:rFonts w:ascii="Times New Roman" w:hAnsi="Times New Roman" w:cs="Times New Roman"/>
          <w:sz w:val="24"/>
          <w:szCs w:val="24"/>
          <w:u w:val="single"/>
        </w:rPr>
        <w:t>Barker</w:t>
      </w:r>
      <w:r w:rsidR="00090F9D" w:rsidRPr="00F71A1A">
        <w:rPr>
          <w:rFonts w:ascii="Times New Roman" w:hAnsi="Times New Roman" w:cs="Times New Roman"/>
          <w:sz w:val="24"/>
          <w:szCs w:val="24"/>
        </w:rPr>
        <w:t>, 407 U.S. at 530-31.</w:t>
      </w:r>
    </w:p>
    <w:p w:rsidR="00F71A1A" w:rsidRDefault="00090F9D" w:rsidP="00F71A1A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What makes a case complex? </w:t>
      </w:r>
      <w:r w:rsidR="00AC71E9" w:rsidRPr="00F71A1A">
        <w:rPr>
          <w:rFonts w:ascii="Times New Roman" w:hAnsi="Times New Roman" w:cs="Times New Roman"/>
          <w:sz w:val="24"/>
          <w:szCs w:val="24"/>
        </w:rPr>
        <w:t>The o</w:t>
      </w:r>
      <w:r w:rsidRPr="00F71A1A">
        <w:rPr>
          <w:rFonts w:ascii="Times New Roman" w:hAnsi="Times New Roman" w:cs="Times New Roman"/>
          <w:sz w:val="24"/>
          <w:szCs w:val="24"/>
        </w:rPr>
        <w:t>ffense type</w:t>
      </w:r>
      <w:r w:rsidR="00AC71E9" w:rsidRPr="00F71A1A">
        <w:rPr>
          <w:rFonts w:ascii="Times New Roman" w:hAnsi="Times New Roman" w:cs="Times New Roman"/>
          <w:sz w:val="24"/>
          <w:szCs w:val="24"/>
        </w:rPr>
        <w:t xml:space="preserve">, elements, severity of the punishment, and specific charge involved; </w:t>
      </w:r>
      <w:r w:rsidRPr="00F71A1A">
        <w:rPr>
          <w:rFonts w:ascii="Times New Roman" w:hAnsi="Times New Roman" w:cs="Times New Roman"/>
          <w:sz w:val="24"/>
          <w:szCs w:val="24"/>
        </w:rPr>
        <w:t>multiplicity of counts</w:t>
      </w:r>
      <w:r w:rsidR="00AC71E9" w:rsidRPr="00F71A1A">
        <w:rPr>
          <w:rFonts w:ascii="Times New Roman" w:hAnsi="Times New Roman" w:cs="Times New Roman"/>
          <w:sz w:val="24"/>
          <w:szCs w:val="24"/>
        </w:rPr>
        <w:t>;</w:t>
      </w:r>
      <w:r w:rsidRPr="00F71A1A">
        <w:rPr>
          <w:rFonts w:ascii="Times New Roman" w:hAnsi="Times New Roman" w:cs="Times New Roman"/>
          <w:sz w:val="24"/>
          <w:szCs w:val="24"/>
        </w:rPr>
        <w:t xml:space="preserve"> number of defendants</w:t>
      </w:r>
      <w:r w:rsidR="00AC71E9" w:rsidRPr="00F71A1A">
        <w:rPr>
          <w:rFonts w:ascii="Times New Roman" w:hAnsi="Times New Roman" w:cs="Times New Roman"/>
          <w:sz w:val="24"/>
          <w:szCs w:val="24"/>
        </w:rPr>
        <w:t xml:space="preserve"> and</w:t>
      </w:r>
      <w:r w:rsidRPr="00F71A1A">
        <w:rPr>
          <w:rFonts w:ascii="Times New Roman" w:hAnsi="Times New Roman" w:cs="Times New Roman"/>
          <w:sz w:val="24"/>
          <w:szCs w:val="24"/>
        </w:rPr>
        <w:t xml:space="preserve"> witnesses</w:t>
      </w:r>
      <w:r w:rsidR="00AC71E9" w:rsidRPr="00F71A1A">
        <w:rPr>
          <w:rFonts w:ascii="Times New Roman" w:hAnsi="Times New Roman" w:cs="Times New Roman"/>
          <w:sz w:val="24"/>
          <w:szCs w:val="24"/>
        </w:rPr>
        <w:t>;</w:t>
      </w:r>
      <w:r w:rsidRPr="00F71A1A">
        <w:rPr>
          <w:rFonts w:ascii="Times New Roman" w:hAnsi="Times New Roman" w:cs="Times New Roman"/>
          <w:sz w:val="24"/>
          <w:szCs w:val="24"/>
        </w:rPr>
        <w:t xml:space="preserve"> availability of evidence</w:t>
      </w:r>
      <w:r w:rsidR="00AC71E9" w:rsidRPr="00F71A1A">
        <w:rPr>
          <w:rFonts w:ascii="Times New Roman" w:hAnsi="Times New Roman" w:cs="Times New Roman"/>
          <w:sz w:val="24"/>
          <w:szCs w:val="24"/>
        </w:rPr>
        <w:t>; etc.</w:t>
      </w:r>
      <w:r w:rsidRPr="00F71A1A">
        <w:rPr>
          <w:rFonts w:ascii="Times New Roman" w:hAnsi="Times New Roman" w:cs="Times New Roman"/>
          <w:sz w:val="24"/>
          <w:szCs w:val="24"/>
        </w:rPr>
        <w:t xml:space="preserve"> </w:t>
      </w:r>
      <w:r w:rsidR="008D773F" w:rsidRPr="00F71A1A">
        <w:rPr>
          <w:rFonts w:ascii="Times New Roman" w:hAnsi="Times New Roman" w:cs="Times New Roman"/>
          <w:sz w:val="24"/>
          <w:szCs w:val="24"/>
        </w:rPr>
        <w:t>The court must consider “the extent to which the delay stretches beyond the bare minimum needed to trigger judicial examination of the claim,”</w:t>
      </w:r>
    </w:p>
    <w:p w:rsidR="00F71A1A" w:rsidRDefault="002531D2" w:rsidP="00F71A1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>Consider length of delay in relation to whether defendant was incarcerated during this period.</w:t>
      </w:r>
    </w:p>
    <w:p w:rsidR="00F71A1A" w:rsidRDefault="008F66B0" w:rsidP="00F71A1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The Vermont Supreme Court has recognized: </w:t>
      </w:r>
    </w:p>
    <w:p w:rsidR="00F71A1A" w:rsidRDefault="008F66B0" w:rsidP="00F71A1A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23-month delay between defendant's arraignment and the second trial is presumptively prejudicial. </w:t>
      </w:r>
      <w:r w:rsidRPr="00F71A1A">
        <w:rPr>
          <w:rFonts w:ascii="Times New Roman" w:hAnsi="Times New Roman" w:cs="Times New Roman"/>
          <w:sz w:val="24"/>
          <w:szCs w:val="24"/>
          <w:u w:val="single"/>
        </w:rPr>
        <w:t>Reynolds</w:t>
      </w:r>
      <w:r w:rsidRPr="00F71A1A">
        <w:rPr>
          <w:rFonts w:ascii="Times New Roman" w:hAnsi="Times New Roman" w:cs="Times New Roman"/>
          <w:sz w:val="24"/>
          <w:szCs w:val="24"/>
        </w:rPr>
        <w:t>, 2014 VT 16, ¶ 19, 196 Vt. 113, 122, 95 A.3d 973, 980 (sexual assault).</w:t>
      </w:r>
    </w:p>
    <w:p w:rsidR="00F71A1A" w:rsidRDefault="008F66B0" w:rsidP="00F71A1A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18-month delay is presumptively prejudicial. </w:t>
      </w:r>
      <w:r w:rsidR="000942D6" w:rsidRPr="00F71A1A">
        <w:rPr>
          <w:rFonts w:ascii="Times New Roman" w:hAnsi="Times New Roman" w:cs="Times New Roman"/>
          <w:sz w:val="24"/>
          <w:szCs w:val="24"/>
          <w:u w:val="single"/>
        </w:rPr>
        <w:t xml:space="preserve">State v. </w:t>
      </w:r>
      <w:r w:rsidRPr="00F71A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Turner,</w:t>
      </w:r>
      <w:r w:rsidRPr="00F71A1A">
        <w:rPr>
          <w:rFonts w:ascii="Times New Roman" w:hAnsi="Times New Roman" w:cs="Times New Roman"/>
          <w:sz w:val="24"/>
          <w:szCs w:val="24"/>
        </w:rPr>
        <w:t xml:space="preserve"> 2013 VT 26, ¶ 8, 193 Vt. 474, 70 A.3d 1027 </w:t>
      </w:r>
      <w:r w:rsidR="002531D2" w:rsidRPr="00F71A1A">
        <w:rPr>
          <w:rFonts w:ascii="Times New Roman" w:hAnsi="Times New Roman" w:cs="Times New Roman"/>
          <w:sz w:val="24"/>
          <w:szCs w:val="24"/>
        </w:rPr>
        <w:t>(lewd or lascivious conduct with a child and unlawful restraint of a victim less than sixteen years of age).</w:t>
      </w:r>
    </w:p>
    <w:p w:rsidR="00F71A1A" w:rsidRDefault="000942D6" w:rsidP="00F71A1A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9-month delay </w:t>
      </w:r>
      <w:proofErr w:type="gramStart"/>
      <w:r w:rsidRPr="00F71A1A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F71A1A">
        <w:rPr>
          <w:rFonts w:ascii="Times New Roman" w:hAnsi="Times New Roman" w:cs="Times New Roman"/>
          <w:sz w:val="24"/>
          <w:szCs w:val="24"/>
        </w:rPr>
        <w:t xml:space="preserve"> to trigger review of remaining Barker factors. </w:t>
      </w:r>
      <w:r w:rsidR="008F66B0" w:rsidRPr="00F71A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State v. Vargas</w:t>
      </w:r>
      <w:r w:rsidR="008F66B0" w:rsidRPr="00F71A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8F66B0" w:rsidRPr="00F71A1A">
        <w:rPr>
          <w:rFonts w:ascii="Times New Roman" w:hAnsi="Times New Roman" w:cs="Times New Roman"/>
          <w:sz w:val="24"/>
          <w:szCs w:val="24"/>
        </w:rPr>
        <w:t xml:space="preserve"> 2009 VT 31, ¶ 13, 185 Vt. 629, 971 A.2d 665 (mem.) (</w:t>
      </w:r>
      <w:r w:rsidR="002531D2" w:rsidRPr="00F71A1A">
        <w:rPr>
          <w:rFonts w:ascii="Times New Roman" w:hAnsi="Times New Roman" w:cs="Times New Roman"/>
          <w:sz w:val="24"/>
          <w:szCs w:val="24"/>
        </w:rPr>
        <w:t>lewd and lascivious conduct</w:t>
      </w:r>
      <w:r w:rsidR="008F66B0" w:rsidRPr="00F71A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A1A" w:rsidRDefault="002531D2" w:rsidP="00F71A1A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6-month delay where defendant was incarcerated </w:t>
      </w:r>
      <w:proofErr w:type="gramStart"/>
      <w:r w:rsidRPr="00F71A1A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F71A1A">
        <w:rPr>
          <w:rFonts w:ascii="Times New Roman" w:hAnsi="Times New Roman" w:cs="Times New Roman"/>
          <w:sz w:val="24"/>
          <w:szCs w:val="24"/>
        </w:rPr>
        <w:t xml:space="preserve"> to trigger review of remaining Barker factors. </w:t>
      </w:r>
      <w:r w:rsidRPr="00F71A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State v. Unwin,</w:t>
      </w:r>
      <w:r w:rsidRPr="00F71A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A1A">
        <w:rPr>
          <w:rFonts w:ascii="Times New Roman" w:hAnsi="Times New Roman" w:cs="Times New Roman"/>
          <w:sz w:val="24"/>
          <w:szCs w:val="24"/>
        </w:rPr>
        <w:t>139 Vt. 186, 195, 424 A.2d 251, 257 (1980) (aggravated assault).</w:t>
      </w:r>
    </w:p>
    <w:p w:rsidR="008D773F" w:rsidRDefault="008D773F" w:rsidP="001831F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Irrespective of the reason for the delay, </w:t>
      </w:r>
      <w:r w:rsidR="00F71A1A">
        <w:rPr>
          <w:rFonts w:ascii="Times New Roman" w:hAnsi="Times New Roman" w:cs="Times New Roman"/>
          <w:sz w:val="24"/>
          <w:szCs w:val="24"/>
        </w:rPr>
        <w:t>this</w:t>
      </w:r>
      <w:r w:rsidRPr="00F71A1A">
        <w:rPr>
          <w:rFonts w:ascii="Times New Roman" w:hAnsi="Times New Roman" w:cs="Times New Roman"/>
          <w:sz w:val="24"/>
          <w:szCs w:val="24"/>
        </w:rPr>
        <w:t xml:space="preserve"> </w:t>
      </w:r>
      <w:r w:rsidRPr="00F71A1A">
        <w:rPr>
          <w:rFonts w:ascii="Times New Roman" w:hAnsi="Times New Roman" w:cs="Times New Roman"/>
          <w:sz w:val="24"/>
          <w:szCs w:val="24"/>
          <w:u w:val="single"/>
        </w:rPr>
        <w:t>must be factored against the state</w:t>
      </w:r>
      <w:r w:rsidRPr="00F71A1A">
        <w:rPr>
          <w:rFonts w:ascii="Times New Roman" w:hAnsi="Times New Roman" w:cs="Times New Roman"/>
          <w:sz w:val="24"/>
          <w:szCs w:val="24"/>
        </w:rPr>
        <w:t xml:space="preserve"> in a speedy-trial analysis because, it is ultimately the government's responsibility to bring a defendant to trial in a timely matter.</w:t>
      </w:r>
      <w:r w:rsidR="00F71A1A" w:rsidRPr="00F71A1A">
        <w:rPr>
          <w:rFonts w:ascii="Times New Roman" w:hAnsi="Times New Roman" w:cs="Times New Roman"/>
          <w:sz w:val="24"/>
          <w:szCs w:val="24"/>
        </w:rPr>
        <w:t xml:space="preserve"> </w:t>
      </w:r>
      <w:r w:rsidR="00F71A1A" w:rsidRPr="00F71A1A">
        <w:rPr>
          <w:rFonts w:ascii="Times New Roman" w:hAnsi="Times New Roman" w:cs="Times New Roman"/>
          <w:sz w:val="24"/>
          <w:szCs w:val="24"/>
          <w:u w:val="single"/>
        </w:rPr>
        <w:t>Barker</w:t>
      </w:r>
      <w:r w:rsidR="00F71A1A" w:rsidRPr="00F71A1A">
        <w:rPr>
          <w:rFonts w:ascii="Times New Roman" w:hAnsi="Times New Roman" w:cs="Times New Roman"/>
          <w:sz w:val="24"/>
          <w:szCs w:val="24"/>
        </w:rPr>
        <w:t>, 407 U.S. at 529 (holding that “the primary burden [is] on the courts and the prosecutors to assure that cases are brought to trial”);</w:t>
      </w:r>
      <w:r w:rsidR="00F71A1A">
        <w:rPr>
          <w:rFonts w:ascii="Times New Roman" w:hAnsi="Times New Roman" w:cs="Times New Roman"/>
          <w:sz w:val="24"/>
          <w:szCs w:val="24"/>
        </w:rPr>
        <w:t xml:space="preserve"> m</w:t>
      </w:r>
      <w:r w:rsidR="00F71A1A" w:rsidRPr="00F71A1A">
        <w:rPr>
          <w:rFonts w:ascii="Times New Roman" w:hAnsi="Times New Roman" w:cs="Times New Roman"/>
          <w:sz w:val="24"/>
          <w:szCs w:val="24"/>
        </w:rPr>
        <w:t xml:space="preserve">ake your argument why </w:t>
      </w:r>
      <w:r w:rsidRPr="00F71A1A">
        <w:rPr>
          <w:rFonts w:ascii="Times New Roman" w:hAnsi="Times New Roman" w:cs="Times New Roman"/>
          <w:sz w:val="24"/>
          <w:szCs w:val="24"/>
        </w:rPr>
        <w:t>this factor weighs heavily in favor of defendant.</w:t>
      </w:r>
    </w:p>
    <w:p w:rsidR="00F71A1A" w:rsidRDefault="00F71A1A" w:rsidP="00F71A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1A1A">
        <w:rPr>
          <w:rFonts w:ascii="Times New Roman" w:hAnsi="Times New Roman" w:cs="Times New Roman"/>
          <w:b/>
          <w:bCs/>
          <w:sz w:val="24"/>
          <w:szCs w:val="24"/>
        </w:rPr>
        <w:t>Second Factor: What is the reason for the delay?</w:t>
      </w:r>
    </w:p>
    <w:p w:rsidR="00F71A1A" w:rsidRDefault="00F71A1A" w:rsidP="00F71A1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A1A" w:rsidRPr="00EA21C6" w:rsidRDefault="00F71A1A" w:rsidP="00F71A1A">
      <w:pPr>
        <w:pStyle w:val="ListParagraph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1A1A">
        <w:rPr>
          <w:rFonts w:ascii="Times New Roman" w:hAnsi="Times New Roman" w:cs="Times New Roman"/>
          <w:sz w:val="24"/>
          <w:szCs w:val="24"/>
        </w:rPr>
        <w:t xml:space="preserve">Deliberate delay on the part of the state intended to hamper the defense would </w:t>
      </w:r>
      <w:r w:rsidRPr="00EA21C6">
        <w:rPr>
          <w:rFonts w:ascii="Times New Roman" w:hAnsi="Times New Roman" w:cs="Times New Roman"/>
          <w:sz w:val="24"/>
          <w:szCs w:val="24"/>
        </w:rPr>
        <w:t>obviously weigh heavily in favor of defendant.</w:t>
      </w:r>
    </w:p>
    <w:p w:rsidR="00F71A1A" w:rsidRPr="00EA21C6" w:rsidRDefault="00F71A1A" w:rsidP="00F71A1A">
      <w:pPr>
        <w:pStyle w:val="ListParagraph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21C6" w:rsidRPr="00EA21C6" w:rsidRDefault="00F71A1A" w:rsidP="00EA21C6">
      <w:pPr>
        <w:pStyle w:val="ListParagraph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 xml:space="preserve">More neutral reasons for delay, such as shuttering the courts due to health concerns, should be weighted less heavily but nevertheless </w:t>
      </w:r>
      <w:r w:rsidRPr="00EA21C6">
        <w:rPr>
          <w:rFonts w:ascii="Times New Roman" w:hAnsi="Times New Roman" w:cs="Times New Roman"/>
          <w:sz w:val="24"/>
          <w:szCs w:val="24"/>
          <w:u w:val="single"/>
        </w:rPr>
        <w:t xml:space="preserve">should still be considered against the </w:t>
      </w:r>
      <w:r w:rsidR="00EA21C6" w:rsidRPr="00EA21C6">
        <w:rPr>
          <w:rFonts w:ascii="Times New Roman" w:hAnsi="Times New Roman" w:cs="Times New Roman"/>
          <w:sz w:val="24"/>
          <w:szCs w:val="24"/>
          <w:u w:val="single"/>
        </w:rPr>
        <w:t>state</w:t>
      </w:r>
      <w:r w:rsidRPr="00EA21C6">
        <w:rPr>
          <w:rFonts w:ascii="Times New Roman" w:hAnsi="Times New Roman" w:cs="Times New Roman"/>
          <w:sz w:val="24"/>
          <w:szCs w:val="24"/>
        </w:rPr>
        <w:t xml:space="preserve"> “since the ultimate responsibility for such circumstances must rest with the government.” </w:t>
      </w:r>
      <w:r w:rsidRPr="00EA21C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Barker</w:t>
      </w:r>
      <w:r w:rsidRPr="00EA21C6">
        <w:rPr>
          <w:rStyle w:val="Emphasis"/>
          <w:rFonts w:ascii="Times New Roman" w:hAnsi="Times New Roman" w:cs="Times New Roman"/>
          <w:sz w:val="24"/>
          <w:szCs w:val="24"/>
          <w:u w:val="single"/>
        </w:rPr>
        <w:t>,</w:t>
      </w:r>
      <w:r w:rsidRPr="00EA21C6">
        <w:rPr>
          <w:rFonts w:ascii="Times New Roman" w:hAnsi="Times New Roman" w:cs="Times New Roman"/>
          <w:sz w:val="24"/>
          <w:szCs w:val="24"/>
        </w:rPr>
        <w:t xml:space="preserve"> 407 U.S. at 531. </w:t>
      </w:r>
    </w:p>
    <w:p w:rsidR="00EA21C6" w:rsidRPr="00EA21C6" w:rsidRDefault="00EA21C6" w:rsidP="00EA2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21C6" w:rsidRDefault="00EA21C6" w:rsidP="00AD1D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 xml:space="preserve">Differing weights should be applied to different reasons for the delay: deliberate delays to hamper the defense weigh heavily against the prosecution, while a valid reason such as finding a missing witness may justify a delay. </w:t>
      </w:r>
      <w:r w:rsidRPr="004B3B82">
        <w:rPr>
          <w:rFonts w:ascii="Times New Roman" w:hAnsi="Times New Roman" w:cs="Times New Roman"/>
          <w:sz w:val="24"/>
          <w:szCs w:val="24"/>
          <w:u w:val="single"/>
        </w:rPr>
        <w:t>Barker</w:t>
      </w:r>
      <w:r w:rsidRPr="00EA21C6">
        <w:rPr>
          <w:rFonts w:ascii="Times New Roman" w:hAnsi="Times New Roman" w:cs="Times New Roman"/>
          <w:sz w:val="24"/>
          <w:szCs w:val="24"/>
        </w:rPr>
        <w:t>, 407 U.S. at 531.</w:t>
      </w:r>
    </w:p>
    <w:p w:rsidR="004B3B82" w:rsidRDefault="004B3B82" w:rsidP="004B3B82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3B82" w:rsidRPr="004B3B82" w:rsidRDefault="004B3B82" w:rsidP="004B3B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B3B82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82">
        <w:rPr>
          <w:rFonts w:ascii="Times New Roman" w:hAnsi="Times New Roman" w:cs="Times New Roman"/>
          <w:sz w:val="24"/>
          <w:szCs w:val="24"/>
        </w:rPr>
        <w:t>institutional delays are not counted as heavily against the government as tactica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4B3B82">
        <w:rPr>
          <w:rFonts w:ascii="Times New Roman" w:hAnsi="Times New Roman" w:cs="Times New Roman"/>
          <w:sz w:val="24"/>
          <w:szCs w:val="24"/>
        </w:rPr>
        <w:t>delays by the prosecution, periods of unexplained inaction by the courts are “properly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82">
        <w:rPr>
          <w:rFonts w:ascii="Times New Roman" w:hAnsi="Times New Roman" w:cs="Times New Roman"/>
          <w:sz w:val="24"/>
          <w:szCs w:val="24"/>
        </w:rPr>
        <w:t xml:space="preserve">chargeable against the government under prevailing case law . . . .” </w:t>
      </w:r>
      <w:r w:rsidRPr="004B3B82">
        <w:rPr>
          <w:rFonts w:ascii="Times New Roman" w:hAnsi="Times New Roman" w:cs="Times New Roman"/>
          <w:sz w:val="24"/>
          <w:szCs w:val="24"/>
          <w:u w:val="single"/>
        </w:rPr>
        <w:t xml:space="preserve">United States v. </w:t>
      </w:r>
      <w:proofErr w:type="spellStart"/>
      <w:r w:rsidRPr="004B3B82">
        <w:rPr>
          <w:rFonts w:ascii="Times New Roman" w:hAnsi="Times New Roman" w:cs="Times New Roman"/>
          <w:sz w:val="24"/>
          <w:szCs w:val="24"/>
          <w:u w:val="single"/>
        </w:rPr>
        <w:t>Carini</w:t>
      </w:r>
      <w:proofErr w:type="spellEnd"/>
      <w:r w:rsidRPr="004B3B82">
        <w:rPr>
          <w:rFonts w:ascii="Times New Roman" w:hAnsi="Times New Roman" w:cs="Times New Roman"/>
          <w:sz w:val="24"/>
          <w:szCs w:val="24"/>
        </w:rPr>
        <w:t xml:space="preserve">, 562 F.2d 144, 149 (2d. Cir. 1977); accord </w:t>
      </w:r>
      <w:r w:rsidRPr="004B3B82">
        <w:rPr>
          <w:rFonts w:ascii="Times New Roman" w:hAnsi="Times New Roman" w:cs="Times New Roman"/>
          <w:sz w:val="24"/>
          <w:szCs w:val="24"/>
          <w:u w:val="single"/>
        </w:rPr>
        <w:t xml:space="preserve">United States v. </w:t>
      </w:r>
      <w:proofErr w:type="spellStart"/>
      <w:r w:rsidRPr="004B3B82">
        <w:rPr>
          <w:rFonts w:ascii="Times New Roman" w:hAnsi="Times New Roman" w:cs="Times New Roman"/>
          <w:sz w:val="24"/>
          <w:szCs w:val="24"/>
          <w:u w:val="single"/>
        </w:rPr>
        <w:t>Tigano</w:t>
      </w:r>
      <w:proofErr w:type="spellEnd"/>
      <w:r w:rsidRPr="004B3B82">
        <w:rPr>
          <w:rFonts w:ascii="Times New Roman" w:hAnsi="Times New Roman" w:cs="Times New Roman"/>
          <w:sz w:val="24"/>
          <w:szCs w:val="24"/>
        </w:rPr>
        <w:t>, 880 F.3d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82">
        <w:rPr>
          <w:rFonts w:ascii="Times New Roman" w:hAnsi="Times New Roman" w:cs="Times New Roman"/>
          <w:sz w:val="24"/>
          <w:szCs w:val="24"/>
        </w:rPr>
        <w:t>602, 614-15 (2d Cir. 2018) (“Administrative delays are counted against the</w:t>
      </w:r>
    </w:p>
    <w:p w:rsidR="004B3B82" w:rsidRPr="004B3B82" w:rsidRDefault="004B3B82" w:rsidP="004B3B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B3B82">
        <w:rPr>
          <w:rFonts w:ascii="Times New Roman" w:hAnsi="Times New Roman" w:cs="Times New Roman"/>
          <w:sz w:val="24"/>
          <w:szCs w:val="24"/>
        </w:rPr>
        <w:t>government, since it is not the defendant’s responsibility to monitor” and prevent</w:t>
      </w:r>
    </w:p>
    <w:p w:rsidR="004B3B82" w:rsidRPr="004B3B82" w:rsidRDefault="004B3B82" w:rsidP="004B3B82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B3B82">
        <w:rPr>
          <w:rFonts w:ascii="Times New Roman" w:hAnsi="Times New Roman" w:cs="Times New Roman"/>
          <w:sz w:val="24"/>
          <w:szCs w:val="24"/>
        </w:rPr>
        <w:t xml:space="preserve">delay) (quoting </w:t>
      </w:r>
      <w:proofErr w:type="spellStart"/>
      <w:r w:rsidRPr="004B3B82">
        <w:rPr>
          <w:rFonts w:ascii="Times New Roman" w:hAnsi="Times New Roman" w:cs="Times New Roman"/>
          <w:sz w:val="24"/>
          <w:szCs w:val="24"/>
        </w:rPr>
        <w:t>Carini</w:t>
      </w:r>
      <w:proofErr w:type="spellEnd"/>
      <w:r w:rsidRPr="004B3B82">
        <w:rPr>
          <w:rFonts w:ascii="Times New Roman" w:hAnsi="Times New Roman" w:cs="Times New Roman"/>
          <w:sz w:val="24"/>
          <w:szCs w:val="24"/>
        </w:rPr>
        <w:t xml:space="preserve">); </w:t>
      </w:r>
      <w:r w:rsidRPr="004B3B82">
        <w:rPr>
          <w:rFonts w:ascii="Times New Roman" w:hAnsi="Times New Roman" w:cs="Times New Roman"/>
          <w:sz w:val="24"/>
          <w:szCs w:val="24"/>
          <w:u w:val="single"/>
        </w:rPr>
        <w:t>United States v. Myers</w:t>
      </w:r>
      <w:r w:rsidRPr="004B3B82">
        <w:rPr>
          <w:rFonts w:ascii="Times New Roman" w:hAnsi="Times New Roman" w:cs="Times New Roman"/>
          <w:sz w:val="24"/>
          <w:szCs w:val="24"/>
        </w:rPr>
        <w:t>, 930 F.3d 1113, 1119 (11th Cir. 2019)</w:t>
      </w:r>
    </w:p>
    <w:p w:rsidR="004B3B82" w:rsidRDefault="004B3B82" w:rsidP="004B3B82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B3B82">
        <w:rPr>
          <w:rFonts w:ascii="Times New Roman" w:hAnsi="Times New Roman" w:cs="Times New Roman"/>
          <w:sz w:val="24"/>
          <w:szCs w:val="24"/>
        </w:rPr>
        <w:t>(observing delay caused by negligence or overcrowded courts weighs against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enturySchoolbook" w:hAnsi="CenturySchoolbook" w:cs="CenturySchoolbook"/>
          <w:sz w:val="24"/>
          <w:szCs w:val="24"/>
        </w:rPr>
        <w:t>government).</w:t>
      </w:r>
    </w:p>
    <w:p w:rsidR="004B3B82" w:rsidRPr="004B3B82" w:rsidRDefault="004B3B82" w:rsidP="004B3B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3B82" w:rsidRDefault="004B3B82" w:rsidP="002421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B3B82">
        <w:rPr>
          <w:rFonts w:ascii="Times New Roman" w:hAnsi="Times New Roman" w:cs="Times New Roman"/>
          <w:sz w:val="24"/>
          <w:szCs w:val="24"/>
        </w:rPr>
        <w:t xml:space="preserve">Negligence in bringing a case to trial is an unacceptable reason for delay. </w:t>
      </w:r>
      <w:r w:rsidRPr="004B3B82">
        <w:rPr>
          <w:rFonts w:ascii="Times New Roman" w:hAnsi="Times New Roman" w:cs="Times New Roman"/>
          <w:sz w:val="24"/>
          <w:szCs w:val="24"/>
          <w:u w:val="single"/>
        </w:rPr>
        <w:t>State v. Charlie</w:t>
      </w:r>
      <w:r w:rsidRPr="004B3B82">
        <w:rPr>
          <w:rFonts w:ascii="Times New Roman" w:hAnsi="Times New Roman" w:cs="Times New Roman"/>
          <w:sz w:val="24"/>
          <w:szCs w:val="24"/>
        </w:rPr>
        <w:t xml:space="preserve">, 2010 MT 195, ¶ 53, 239 P.3d 934. The weight assigned to institutional delay increases as the delay becomes more protracted. </w:t>
      </w:r>
      <w:r w:rsidRPr="004B3B82">
        <w:rPr>
          <w:rFonts w:ascii="Times New Roman" w:hAnsi="Times New Roman" w:cs="Times New Roman"/>
          <w:sz w:val="24"/>
          <w:szCs w:val="24"/>
          <w:u w:val="single"/>
        </w:rPr>
        <w:t>State v. Radler</w:t>
      </w:r>
      <w:r w:rsidRPr="004B3B82">
        <w:rPr>
          <w:rFonts w:ascii="Times New Roman" w:hAnsi="Times New Roman" w:cs="Times New Roman"/>
          <w:sz w:val="24"/>
          <w:szCs w:val="24"/>
        </w:rPr>
        <w:t>,448 P.3d 613, 619 (N.M. Ct. App. 2019).</w:t>
      </w:r>
    </w:p>
    <w:p w:rsidR="004B3B82" w:rsidRDefault="004B3B82" w:rsidP="004B3B82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3B82" w:rsidRPr="004B3B82" w:rsidRDefault="004B3B82" w:rsidP="004B3B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B3B82">
        <w:rPr>
          <w:rFonts w:ascii="Times New Roman" w:hAnsi="Times New Roman" w:cs="Times New Roman"/>
          <w:sz w:val="24"/>
          <w:szCs w:val="24"/>
        </w:rPr>
        <w:t xml:space="preserve">The government assumes responsibility for delays where the attempt at reach a </w:t>
      </w:r>
      <w:r>
        <w:rPr>
          <w:rFonts w:ascii="Times New Roman" w:hAnsi="Times New Roman" w:cs="Times New Roman"/>
          <w:sz w:val="24"/>
          <w:szCs w:val="24"/>
        </w:rPr>
        <w:t xml:space="preserve">plea </w:t>
      </w:r>
      <w:r w:rsidRPr="004B3B82">
        <w:rPr>
          <w:rFonts w:ascii="Times New Roman" w:hAnsi="Times New Roman" w:cs="Times New Roman"/>
          <w:sz w:val="24"/>
          <w:szCs w:val="24"/>
        </w:rPr>
        <w:t xml:space="preserve">bargain is ultimately unsuccessful. </w:t>
      </w:r>
      <w:proofErr w:type="spellStart"/>
      <w:r w:rsidRPr="004B3B82">
        <w:rPr>
          <w:rFonts w:ascii="Times New Roman" w:hAnsi="Times New Roman" w:cs="Times New Roman"/>
          <w:sz w:val="24"/>
          <w:szCs w:val="24"/>
          <w:u w:val="single"/>
        </w:rPr>
        <w:t>Tigano</w:t>
      </w:r>
      <w:proofErr w:type="spellEnd"/>
      <w:r w:rsidRPr="004B3B82">
        <w:rPr>
          <w:rFonts w:ascii="Times New Roman" w:hAnsi="Times New Roman" w:cs="Times New Roman"/>
          <w:sz w:val="24"/>
          <w:szCs w:val="24"/>
        </w:rPr>
        <w:t xml:space="preserve">, 880 F.3d at 615 (quoting </w:t>
      </w:r>
      <w:r w:rsidRPr="004B3B82">
        <w:rPr>
          <w:rFonts w:ascii="Times New Roman" w:hAnsi="Times New Roman" w:cs="Times New Roman"/>
          <w:sz w:val="24"/>
          <w:szCs w:val="24"/>
          <w:u w:val="single"/>
        </w:rPr>
        <w:t>United States v. New Buffalo Amusement Corp.</w:t>
      </w:r>
      <w:r w:rsidRPr="004B3B82">
        <w:rPr>
          <w:rFonts w:ascii="Times New Roman" w:hAnsi="Times New Roman" w:cs="Times New Roman"/>
          <w:sz w:val="24"/>
          <w:szCs w:val="24"/>
        </w:rPr>
        <w:t>, 600 F.2d 368, 378 (2d Cir. 1979)).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82">
        <w:rPr>
          <w:rFonts w:ascii="Times New Roman" w:hAnsi="Times New Roman" w:cs="Times New Roman"/>
          <w:sz w:val="24"/>
          <w:szCs w:val="24"/>
        </w:rPr>
        <w:t>The reason is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82">
        <w:rPr>
          <w:rFonts w:ascii="Times New Roman" w:hAnsi="Times New Roman" w:cs="Times New Roman"/>
          <w:sz w:val="24"/>
          <w:szCs w:val="24"/>
        </w:rPr>
        <w:t>prosecution may lull a defendant into not pressing for a speedy trial by promising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82">
        <w:rPr>
          <w:rFonts w:ascii="Times New Roman" w:hAnsi="Times New Roman" w:cs="Times New Roman"/>
          <w:sz w:val="24"/>
          <w:szCs w:val="24"/>
        </w:rPr>
        <w:t xml:space="preserve">attractive plea deal. </w:t>
      </w:r>
      <w:proofErr w:type="spellStart"/>
      <w:r w:rsidRPr="004B3B82">
        <w:rPr>
          <w:rFonts w:ascii="Times New Roman" w:hAnsi="Times New Roman" w:cs="Times New Roman"/>
          <w:sz w:val="24"/>
          <w:szCs w:val="24"/>
          <w:u w:val="single"/>
        </w:rPr>
        <w:t>Carini</w:t>
      </w:r>
      <w:proofErr w:type="spellEnd"/>
      <w:r w:rsidRPr="004B3B82">
        <w:rPr>
          <w:rFonts w:ascii="Times New Roman" w:hAnsi="Times New Roman" w:cs="Times New Roman"/>
          <w:sz w:val="24"/>
          <w:szCs w:val="24"/>
        </w:rPr>
        <w:t>, 562 F.2d at 149.</w:t>
      </w:r>
    </w:p>
    <w:p w:rsidR="00EA21C6" w:rsidRPr="00EA21C6" w:rsidRDefault="00EA21C6" w:rsidP="00EA2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A1A" w:rsidRPr="005207DC" w:rsidRDefault="00F71A1A" w:rsidP="00EA21C6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207DC">
        <w:rPr>
          <w:rFonts w:ascii="Times New Roman" w:hAnsi="Times New Roman" w:cs="Times New Roman"/>
          <w:sz w:val="24"/>
          <w:szCs w:val="24"/>
        </w:rPr>
        <w:t>Look closely at the Governor’s changing emergency orders on this front and see how the Court is tracking with/keeping up with these changing standards. Make the record clear what</w:t>
      </w:r>
      <w:r w:rsidR="00EA21C6" w:rsidRPr="005207DC">
        <w:rPr>
          <w:rFonts w:ascii="Times New Roman" w:hAnsi="Times New Roman" w:cs="Times New Roman"/>
          <w:sz w:val="24"/>
          <w:szCs w:val="24"/>
        </w:rPr>
        <w:t xml:space="preserve"> is going on elsewhere in this regard. Compare what is happening in other jurisdictions. The point here is to build the record that the government/courts are ultimately responsible for setting the timeframe for resuming jury trials.</w:t>
      </w:r>
    </w:p>
    <w:p w:rsidR="00EA21C6" w:rsidRDefault="00EA21C6" w:rsidP="00EA2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6CC2" w:rsidRDefault="00C1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CC2" w:rsidRPr="005207DC" w:rsidRDefault="00C16CC2" w:rsidP="00EA2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21C6" w:rsidRPr="005207DC" w:rsidRDefault="00EA21C6" w:rsidP="00EA21C6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7DC">
        <w:rPr>
          <w:rFonts w:ascii="Times New Roman" w:hAnsi="Times New Roman" w:cs="Times New Roman"/>
          <w:b/>
          <w:bCs/>
          <w:sz w:val="24"/>
          <w:szCs w:val="24"/>
        </w:rPr>
        <w:t>Third Factor: Did the defendant assert his or her speedy trial constitutional rights?</w:t>
      </w:r>
    </w:p>
    <w:p w:rsidR="00EA21C6" w:rsidRPr="005207DC" w:rsidRDefault="00EA21C6" w:rsidP="00EA21C6">
      <w:pPr>
        <w:pStyle w:val="ListParagraph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1C6" w:rsidRPr="005207DC" w:rsidRDefault="00EA21C6" w:rsidP="00734CA4">
      <w:pPr>
        <w:pStyle w:val="ListParagraph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207DC">
        <w:rPr>
          <w:rFonts w:ascii="Times New Roman" w:hAnsi="Times New Roman" w:cs="Times New Roman"/>
          <w:sz w:val="24"/>
          <w:szCs w:val="24"/>
        </w:rPr>
        <w:t>And to what extent did the defendant assert them?</w:t>
      </w:r>
    </w:p>
    <w:p w:rsidR="005E1199" w:rsidRPr="005E1199" w:rsidRDefault="005E1199" w:rsidP="00734CA4">
      <w:pPr>
        <w:pStyle w:val="ListParagraph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E1199">
        <w:rPr>
          <w:rFonts w:ascii="Times New Roman" w:hAnsi="Times New Roman" w:cs="Times New Roman"/>
          <w:sz w:val="24"/>
          <w:szCs w:val="24"/>
        </w:rPr>
        <w:t>A defendant’s personal invocation of the right puts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99">
        <w:rPr>
          <w:rFonts w:ascii="Times New Roman" w:hAnsi="Times New Roman" w:cs="Times New Roman"/>
          <w:sz w:val="24"/>
          <w:szCs w:val="24"/>
        </w:rPr>
        <w:t xml:space="preserve">government on notice that he or she wishes for a speedy trial. </w:t>
      </w:r>
      <w:r w:rsidRPr="005E1199">
        <w:rPr>
          <w:rFonts w:ascii="Times New Roman" w:hAnsi="Times New Roman" w:cs="Times New Roman"/>
          <w:sz w:val="24"/>
          <w:szCs w:val="24"/>
          <w:u w:val="single"/>
        </w:rPr>
        <w:t>United States v. Black</w:t>
      </w:r>
      <w:r w:rsidRPr="005E1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99">
        <w:rPr>
          <w:rFonts w:ascii="Times New Roman" w:hAnsi="Times New Roman" w:cs="Times New Roman"/>
          <w:sz w:val="24"/>
          <w:szCs w:val="24"/>
        </w:rPr>
        <w:t>918 F.3d 243, 264 (2d Cir. 2019).</w:t>
      </w:r>
    </w:p>
    <w:p w:rsidR="00EA21C6" w:rsidRPr="005207DC" w:rsidRDefault="00EA21C6" w:rsidP="00734CA4">
      <w:pPr>
        <w:pStyle w:val="ListParagraph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207DC">
        <w:rPr>
          <w:rFonts w:ascii="Times New Roman" w:hAnsi="Times New Roman" w:cs="Times New Roman"/>
          <w:sz w:val="24"/>
          <w:szCs w:val="24"/>
        </w:rPr>
        <w:t>Note: “</w:t>
      </w:r>
      <w:r w:rsidR="005E1199">
        <w:rPr>
          <w:rFonts w:ascii="Times New Roman" w:hAnsi="Times New Roman" w:cs="Times New Roman"/>
          <w:sz w:val="24"/>
          <w:szCs w:val="24"/>
        </w:rPr>
        <w:t>that</w:t>
      </w:r>
      <w:r w:rsidRPr="005207DC">
        <w:rPr>
          <w:rFonts w:ascii="Times New Roman" w:hAnsi="Times New Roman" w:cs="Times New Roman"/>
          <w:sz w:val="24"/>
          <w:szCs w:val="24"/>
        </w:rPr>
        <w:t xml:space="preserve"> motion to dismiss for lack of a speedy trial is not the equivalent of a demand for an immediate trial.” </w:t>
      </w:r>
      <w:r w:rsidRPr="005207D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State v. Keith</w:t>
      </w:r>
      <w:r w:rsidRPr="005207DC">
        <w:rPr>
          <w:rStyle w:val="Emphasis"/>
          <w:rFonts w:ascii="Times New Roman" w:hAnsi="Times New Roman" w:cs="Times New Roman"/>
          <w:sz w:val="24"/>
          <w:szCs w:val="24"/>
          <w:u w:val="single"/>
        </w:rPr>
        <w:t>,</w:t>
      </w:r>
      <w:r w:rsidRPr="005207DC">
        <w:rPr>
          <w:rFonts w:ascii="Times New Roman" w:hAnsi="Times New Roman" w:cs="Times New Roman"/>
          <w:sz w:val="24"/>
          <w:szCs w:val="24"/>
        </w:rPr>
        <w:t xml:space="preserve"> 160 Vt. 257, 268, 628 A.2d 1247, 1254 (1993).</w:t>
      </w:r>
    </w:p>
    <w:p w:rsidR="00EA21C6" w:rsidRDefault="00EA21C6" w:rsidP="00734C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207DC">
        <w:rPr>
          <w:rFonts w:ascii="Times New Roman" w:hAnsi="Times New Roman" w:cs="Times New Roman"/>
          <w:sz w:val="24"/>
          <w:szCs w:val="24"/>
        </w:rPr>
        <w:t xml:space="preserve">A defendant’s assertion of the right “is entitled to strong evidentiary weight in determining whether the defendant [was] deprived of the right.” </w:t>
      </w:r>
      <w:r w:rsidRPr="005207DC">
        <w:rPr>
          <w:rFonts w:ascii="Times New Roman" w:hAnsi="Times New Roman" w:cs="Times New Roman"/>
          <w:sz w:val="24"/>
          <w:szCs w:val="24"/>
          <w:u w:val="single"/>
        </w:rPr>
        <w:t>Barker</w:t>
      </w:r>
      <w:r w:rsidRPr="005207DC">
        <w:rPr>
          <w:rFonts w:ascii="Times New Roman" w:hAnsi="Times New Roman" w:cs="Times New Roman"/>
          <w:sz w:val="24"/>
          <w:szCs w:val="24"/>
        </w:rPr>
        <w:t>, 407 U.S. at 531-52.</w:t>
      </w:r>
    </w:p>
    <w:p w:rsidR="00D74DFC" w:rsidRPr="00D74DFC" w:rsidRDefault="00D74DFC" w:rsidP="00734C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FC">
        <w:rPr>
          <w:rFonts w:ascii="Times New Roman" w:hAnsi="Times New Roman" w:cs="Times New Roman"/>
          <w:sz w:val="24"/>
          <w:szCs w:val="24"/>
        </w:rPr>
        <w:t>Court must indulge every reasonable presumption against waiver.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FC">
        <w:rPr>
          <w:rFonts w:ascii="Times New Roman" w:hAnsi="Times New Roman" w:cs="Times New Roman"/>
          <w:sz w:val="24"/>
          <w:szCs w:val="24"/>
          <w:u w:val="single"/>
        </w:rPr>
        <w:t>Barker</w:t>
      </w:r>
      <w:r w:rsidRPr="00D74DFC">
        <w:rPr>
          <w:rFonts w:ascii="Times New Roman" w:hAnsi="Times New Roman" w:cs="Times New Roman"/>
          <w:sz w:val="24"/>
          <w:szCs w:val="24"/>
        </w:rPr>
        <w:t>, 407 U.S. at 525-26.</w:t>
      </w:r>
    </w:p>
    <w:p w:rsidR="005207DC" w:rsidRPr="005207DC" w:rsidRDefault="005207DC" w:rsidP="005207DC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252C" w:rsidRPr="005207DC" w:rsidRDefault="00FA252C" w:rsidP="00FA25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7DC">
        <w:rPr>
          <w:rFonts w:ascii="Times New Roman" w:hAnsi="Times New Roman" w:cs="Times New Roman"/>
          <w:b/>
          <w:bCs/>
          <w:sz w:val="24"/>
          <w:szCs w:val="24"/>
        </w:rPr>
        <w:t>Fourth Factor: What is the prejudice to the defendant?</w:t>
      </w:r>
    </w:p>
    <w:p w:rsidR="005207DC" w:rsidRPr="005207DC" w:rsidRDefault="005207DC" w:rsidP="005207DC">
      <w:pPr>
        <w:pStyle w:val="ListParagraph"/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DC" w:rsidRPr="005207DC" w:rsidRDefault="004A6814" w:rsidP="005207D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A252C" w:rsidRPr="005207DC">
        <w:rPr>
          <w:rFonts w:ascii="Times New Roman" w:hAnsi="Times New Roman" w:cs="Times New Roman"/>
          <w:sz w:val="24"/>
          <w:szCs w:val="24"/>
        </w:rPr>
        <w:t xml:space="preserve"> most important and final factor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7DC" w:rsidRPr="004A6814" w:rsidRDefault="004A6814" w:rsidP="00A45ED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A6814">
        <w:rPr>
          <w:rFonts w:ascii="Times New Roman" w:hAnsi="Times New Roman" w:cs="Times New Roman"/>
          <w:sz w:val="24"/>
          <w:szCs w:val="24"/>
        </w:rPr>
        <w:t>C</w:t>
      </w:r>
      <w:r w:rsidR="00FA252C" w:rsidRPr="004A6814">
        <w:rPr>
          <w:rFonts w:ascii="Times New Roman" w:hAnsi="Times New Roman" w:cs="Times New Roman"/>
          <w:sz w:val="24"/>
          <w:szCs w:val="24"/>
        </w:rPr>
        <w:t>laims of prejudice “should be assessed in the light of the interests of defendants which the speedy trial right was designed to protect,” including “(</w:t>
      </w:r>
      <w:proofErr w:type="spellStart"/>
      <w:r w:rsidR="00FA252C" w:rsidRPr="004A68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252C" w:rsidRPr="004A6814">
        <w:rPr>
          <w:rFonts w:ascii="Times New Roman" w:hAnsi="Times New Roman" w:cs="Times New Roman"/>
          <w:sz w:val="24"/>
          <w:szCs w:val="24"/>
        </w:rPr>
        <w:t>) to prevent oppressive pretrial incarceration; (ii) to minimize anxiety and concern of the accused; and (iii) to limit the possibility that the defense will be impaired.”</w:t>
      </w:r>
      <w:r w:rsidRPr="004A6814">
        <w:rPr>
          <w:rFonts w:ascii="Times New Roman" w:hAnsi="Times New Roman" w:cs="Times New Roman"/>
          <w:sz w:val="24"/>
          <w:szCs w:val="24"/>
        </w:rPr>
        <w:t xml:space="preserve"> </w:t>
      </w:r>
      <w:r w:rsidRPr="004A6814">
        <w:rPr>
          <w:rFonts w:ascii="Times New Roman" w:hAnsi="Times New Roman" w:cs="Times New Roman"/>
          <w:sz w:val="24"/>
          <w:szCs w:val="24"/>
          <w:u w:val="single"/>
        </w:rPr>
        <w:t>Barker</w:t>
      </w:r>
      <w:r w:rsidRPr="004A6814">
        <w:rPr>
          <w:rFonts w:ascii="Times New Roman" w:hAnsi="Times New Roman" w:cs="Times New Roman"/>
          <w:sz w:val="24"/>
          <w:szCs w:val="24"/>
        </w:rPr>
        <w:t xml:space="preserve">, 407 U.S. at 532. </w:t>
      </w:r>
    </w:p>
    <w:p w:rsidR="00FA252C" w:rsidRDefault="00FA252C" w:rsidP="005207D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207DC">
        <w:rPr>
          <w:rFonts w:ascii="Times New Roman" w:hAnsi="Times New Roman" w:cs="Times New Roman"/>
          <w:sz w:val="24"/>
          <w:szCs w:val="24"/>
        </w:rPr>
        <w:t>Actual prejudice/injury not required.</w:t>
      </w:r>
    </w:p>
    <w:p w:rsidR="001A669B" w:rsidRPr="001A669B" w:rsidRDefault="001A669B" w:rsidP="001A66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A669B">
        <w:rPr>
          <w:rFonts w:ascii="Times New Roman" w:hAnsi="Times New Roman" w:cs="Times New Roman"/>
          <w:sz w:val="24"/>
          <w:szCs w:val="24"/>
        </w:rPr>
        <w:t>Negligence in bringing a case to trial “falls on the wrong side of the divide</w:t>
      </w:r>
    </w:p>
    <w:p w:rsidR="001A669B" w:rsidRPr="001A669B" w:rsidRDefault="001A669B" w:rsidP="001A669B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69B">
        <w:rPr>
          <w:rFonts w:ascii="Times New Roman" w:hAnsi="Times New Roman" w:cs="Times New Roman"/>
          <w:sz w:val="24"/>
          <w:szCs w:val="24"/>
        </w:rPr>
        <w:t>between acceptable and unacceptable reasons for delaying a criminal prosecution</w:t>
      </w:r>
    </w:p>
    <w:p w:rsidR="001A669B" w:rsidRPr="001A669B" w:rsidRDefault="001A669B" w:rsidP="001A669B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69B">
        <w:rPr>
          <w:rFonts w:ascii="Times New Roman" w:hAnsi="Times New Roman" w:cs="Times New Roman"/>
          <w:sz w:val="24"/>
          <w:szCs w:val="24"/>
        </w:rPr>
        <w:t xml:space="preserve">once it has begun.” </w:t>
      </w:r>
      <w:r w:rsidRPr="001A669B">
        <w:rPr>
          <w:rFonts w:ascii="Times New Roman" w:hAnsi="Times New Roman" w:cs="Times New Roman"/>
          <w:sz w:val="24"/>
          <w:szCs w:val="24"/>
          <w:u w:val="single"/>
        </w:rPr>
        <w:t>Doggett v. United States</w:t>
      </w:r>
      <w:r w:rsidRPr="001A669B">
        <w:rPr>
          <w:rFonts w:ascii="Times New Roman" w:hAnsi="Times New Roman" w:cs="Times New Roman"/>
          <w:sz w:val="24"/>
          <w:szCs w:val="24"/>
        </w:rPr>
        <w:t>, 505 U.S. 647, 657 (1992). Courts</w:t>
      </w:r>
    </w:p>
    <w:p w:rsidR="001A669B" w:rsidRPr="001A669B" w:rsidRDefault="001A669B" w:rsidP="001A669B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69B">
        <w:rPr>
          <w:rFonts w:ascii="Times New Roman" w:hAnsi="Times New Roman" w:cs="Times New Roman"/>
          <w:sz w:val="24"/>
          <w:szCs w:val="24"/>
        </w:rPr>
        <w:t>consider “dead time” and the “detrimental effect of living under a cloud of anxiety,</w:t>
      </w:r>
    </w:p>
    <w:p w:rsidR="001A669B" w:rsidRPr="001A669B" w:rsidRDefault="001A669B" w:rsidP="001A669B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69B">
        <w:rPr>
          <w:rFonts w:ascii="Times New Roman" w:hAnsi="Times New Roman" w:cs="Times New Roman"/>
          <w:sz w:val="24"/>
          <w:szCs w:val="24"/>
        </w:rPr>
        <w:t xml:space="preserve">suspicion, and often hostility.” </w:t>
      </w:r>
      <w:r w:rsidRPr="00A25A50">
        <w:rPr>
          <w:rFonts w:ascii="Times New Roman" w:hAnsi="Times New Roman" w:cs="Times New Roman"/>
          <w:sz w:val="24"/>
          <w:szCs w:val="24"/>
          <w:u w:val="single"/>
        </w:rPr>
        <w:t>Black</w:t>
      </w:r>
      <w:r w:rsidRPr="001A669B">
        <w:rPr>
          <w:rFonts w:ascii="Times New Roman" w:hAnsi="Times New Roman" w:cs="Times New Roman"/>
          <w:sz w:val="24"/>
          <w:szCs w:val="24"/>
        </w:rPr>
        <w:t xml:space="preserve">, 918 F.3d at 265 (quoting </w:t>
      </w:r>
      <w:r w:rsidRPr="00A25A50">
        <w:rPr>
          <w:rFonts w:ascii="Times New Roman" w:hAnsi="Times New Roman" w:cs="Times New Roman"/>
          <w:sz w:val="24"/>
          <w:szCs w:val="24"/>
          <w:u w:val="single"/>
        </w:rPr>
        <w:t>Barker</w:t>
      </w:r>
      <w:r w:rsidRPr="001A669B">
        <w:rPr>
          <w:rFonts w:ascii="Times New Roman" w:hAnsi="Times New Roman" w:cs="Times New Roman"/>
          <w:sz w:val="24"/>
          <w:szCs w:val="24"/>
        </w:rPr>
        <w:t>, 407 U.S. at</w:t>
      </w:r>
    </w:p>
    <w:p w:rsidR="00335E0E" w:rsidRDefault="001A669B" w:rsidP="00335E0E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69B">
        <w:rPr>
          <w:rFonts w:ascii="Times New Roman" w:hAnsi="Times New Roman" w:cs="Times New Roman"/>
          <w:sz w:val="24"/>
          <w:szCs w:val="24"/>
        </w:rPr>
        <w:t>532-33) (quotation marks omitted).</w:t>
      </w:r>
    </w:p>
    <w:p w:rsidR="00335E0E" w:rsidRPr="00335E0E" w:rsidRDefault="00335E0E" w:rsidP="00335E0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Argue the specific facts involved in your case: length/conditions of pretrial/presentence incarceration/loss of liberty and risk to health, access to counsel, ability to prepare for a defense, losing custody of a child, housing, employment.</w:t>
      </w:r>
    </w:p>
    <w:p w:rsidR="00FA252C" w:rsidRPr="00FA252C" w:rsidRDefault="00FA252C" w:rsidP="005207DC">
      <w:pPr>
        <w:pStyle w:val="ListParagraph"/>
        <w:autoSpaceDE w:val="0"/>
        <w:autoSpaceDN w:val="0"/>
        <w:adjustRightInd w:val="0"/>
        <w:spacing w:after="0" w:line="256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EA21C6" w:rsidRPr="00EA21C6" w:rsidRDefault="00EA21C6" w:rsidP="00EA21C6">
      <w:pPr>
        <w:pStyle w:val="ListParagraph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A1A" w:rsidRPr="00F71A1A" w:rsidRDefault="00F71A1A" w:rsidP="00F71A1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3F" w:rsidRPr="000942D6" w:rsidRDefault="008D773F" w:rsidP="008D773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773F" w:rsidRPr="000942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EB" w:rsidRDefault="00951AEB" w:rsidP="00C16CC2">
      <w:pPr>
        <w:spacing w:after="0" w:line="240" w:lineRule="auto"/>
      </w:pPr>
      <w:r>
        <w:separator/>
      </w:r>
    </w:p>
  </w:endnote>
  <w:endnote w:type="continuationSeparator" w:id="0">
    <w:p w:rsidR="00951AEB" w:rsidRDefault="00951AEB" w:rsidP="00C1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School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209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CC2" w:rsidRDefault="00C16C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CC2" w:rsidRDefault="00C16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EB" w:rsidRDefault="00951AEB" w:rsidP="00C16CC2">
      <w:pPr>
        <w:spacing w:after="0" w:line="240" w:lineRule="auto"/>
      </w:pPr>
      <w:r>
        <w:separator/>
      </w:r>
    </w:p>
  </w:footnote>
  <w:footnote w:type="continuationSeparator" w:id="0">
    <w:p w:rsidR="00951AEB" w:rsidRDefault="00951AEB" w:rsidP="00C1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B7C"/>
    <w:multiLevelType w:val="hybridMultilevel"/>
    <w:tmpl w:val="C79654E8"/>
    <w:lvl w:ilvl="0" w:tplc="0E4CB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B4D8A"/>
    <w:multiLevelType w:val="hybridMultilevel"/>
    <w:tmpl w:val="B552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0D49"/>
    <w:multiLevelType w:val="hybridMultilevel"/>
    <w:tmpl w:val="3728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7511"/>
    <w:multiLevelType w:val="hybridMultilevel"/>
    <w:tmpl w:val="D936A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6F1007"/>
    <w:multiLevelType w:val="hybridMultilevel"/>
    <w:tmpl w:val="3738BD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5193A"/>
    <w:multiLevelType w:val="hybridMultilevel"/>
    <w:tmpl w:val="E396A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374E"/>
    <w:multiLevelType w:val="hybridMultilevel"/>
    <w:tmpl w:val="C4A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2695"/>
    <w:multiLevelType w:val="hybridMultilevel"/>
    <w:tmpl w:val="96B4D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064077"/>
    <w:multiLevelType w:val="hybridMultilevel"/>
    <w:tmpl w:val="96EA1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4552F"/>
    <w:multiLevelType w:val="hybridMultilevel"/>
    <w:tmpl w:val="761A1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923F21"/>
    <w:multiLevelType w:val="hybridMultilevel"/>
    <w:tmpl w:val="272C40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321DD"/>
    <w:multiLevelType w:val="hybridMultilevel"/>
    <w:tmpl w:val="BD621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F07DDE"/>
    <w:multiLevelType w:val="hybridMultilevel"/>
    <w:tmpl w:val="00BCA7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763F6"/>
    <w:multiLevelType w:val="hybridMultilevel"/>
    <w:tmpl w:val="669E2180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D67E2B"/>
    <w:multiLevelType w:val="hybridMultilevel"/>
    <w:tmpl w:val="0B92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BF"/>
    <w:rsid w:val="00090F9D"/>
    <w:rsid w:val="000942D6"/>
    <w:rsid w:val="001A669B"/>
    <w:rsid w:val="002531D2"/>
    <w:rsid w:val="00335E0E"/>
    <w:rsid w:val="004728C8"/>
    <w:rsid w:val="004A6814"/>
    <w:rsid w:val="004A687E"/>
    <w:rsid w:val="004B2A04"/>
    <w:rsid w:val="004B3B82"/>
    <w:rsid w:val="004F3989"/>
    <w:rsid w:val="005207DC"/>
    <w:rsid w:val="0053347D"/>
    <w:rsid w:val="005D6EC2"/>
    <w:rsid w:val="005E1199"/>
    <w:rsid w:val="00734CA4"/>
    <w:rsid w:val="00760EC4"/>
    <w:rsid w:val="00861241"/>
    <w:rsid w:val="008C685D"/>
    <w:rsid w:val="008D773F"/>
    <w:rsid w:val="008F66B0"/>
    <w:rsid w:val="00951AEB"/>
    <w:rsid w:val="009B2442"/>
    <w:rsid w:val="009F7ADB"/>
    <w:rsid w:val="00A25A50"/>
    <w:rsid w:val="00A71204"/>
    <w:rsid w:val="00AC71E9"/>
    <w:rsid w:val="00BA54A9"/>
    <w:rsid w:val="00C16CC2"/>
    <w:rsid w:val="00CF0B22"/>
    <w:rsid w:val="00D74DFC"/>
    <w:rsid w:val="00EA21C6"/>
    <w:rsid w:val="00EE56BF"/>
    <w:rsid w:val="00F71A1A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87C68-A3DF-46CF-92ED-EFD672C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searchterm">
    <w:name w:val="co_searchterm"/>
    <w:basedOn w:val="DefaultParagraphFont"/>
    <w:rsid w:val="00EE56BF"/>
  </w:style>
  <w:style w:type="character" w:styleId="Hyperlink">
    <w:name w:val="Hyperlink"/>
    <w:basedOn w:val="DefaultParagraphFont"/>
    <w:uiPriority w:val="99"/>
    <w:semiHidden/>
    <w:unhideWhenUsed/>
    <w:rsid w:val="00EE56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6BF"/>
    <w:rPr>
      <w:i/>
      <w:iCs/>
    </w:rPr>
  </w:style>
  <w:style w:type="paragraph" w:styleId="ListParagraph">
    <w:name w:val="List Paragraph"/>
    <w:basedOn w:val="Normal"/>
    <w:uiPriority w:val="34"/>
    <w:qFormat/>
    <w:rsid w:val="00CF0B22"/>
    <w:pPr>
      <w:ind w:left="720"/>
      <w:contextualSpacing/>
    </w:pPr>
  </w:style>
  <w:style w:type="character" w:customStyle="1" w:styleId="costarpage">
    <w:name w:val="co_starpage"/>
    <w:basedOn w:val="DefaultParagraphFont"/>
    <w:rsid w:val="008F66B0"/>
  </w:style>
  <w:style w:type="paragraph" w:styleId="Header">
    <w:name w:val="header"/>
    <w:basedOn w:val="Normal"/>
    <w:link w:val="HeaderChar"/>
    <w:uiPriority w:val="99"/>
    <w:unhideWhenUsed/>
    <w:rsid w:val="00C1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C2"/>
  </w:style>
  <w:style w:type="paragraph" w:styleId="Footer">
    <w:name w:val="footer"/>
    <w:basedOn w:val="Normal"/>
    <w:link w:val="FooterChar"/>
    <w:uiPriority w:val="99"/>
    <w:unhideWhenUsed/>
    <w:rsid w:val="00C1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Link/Document/FullText?findType=Y&amp;serNum=1972127165&amp;pubNum=0000780&amp;originatingDoc=I9df7dd40809911eaafec9267fcc8c7fa&amp;refType=RP&amp;originationContext=document&amp;transitionType=DocumentItem&amp;contextData=(sc.Search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E037-AD6E-41C1-BBC6-A3A384CF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Mary Deaett</cp:lastModifiedBy>
  <cp:revision>2</cp:revision>
  <dcterms:created xsi:type="dcterms:W3CDTF">2020-05-13T12:18:00Z</dcterms:created>
  <dcterms:modified xsi:type="dcterms:W3CDTF">2020-05-13T12:18:00Z</dcterms:modified>
</cp:coreProperties>
</file>